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5DE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contextualSpacing/>
        <w:jc w:val="center"/>
        <w:textAlignment w:val="auto"/>
        <w:rPr>
          <w:rFonts w:ascii="宋体" w:hAnsi="宋体" w:eastAsia="宋体"/>
          <w:b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highlight w:val="none"/>
          <w:shd w:val="clear" w:color="auto" w:fill="FFFFFF"/>
        </w:rPr>
        <w:t>20</w:t>
      </w:r>
      <w:r>
        <w:rPr>
          <w:rFonts w:hint="eastAsia" w:ascii="宋体" w:hAnsi="宋体" w:eastAsia="宋体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/>
          <w:b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宋体" w:hAnsi="宋体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泸县</w:t>
      </w:r>
      <w:r>
        <w:rPr>
          <w:rFonts w:hint="eastAsia" w:ascii="宋体" w:hAnsi="宋体" w:eastAsia="宋体"/>
          <w:b/>
          <w:color w:val="auto"/>
          <w:sz w:val="32"/>
          <w:szCs w:val="32"/>
          <w:highlight w:val="none"/>
          <w:shd w:val="clear" w:color="auto" w:fill="FFFFFF"/>
        </w:rPr>
        <w:t>部门绩效评价报告</w:t>
      </w:r>
    </w:p>
    <w:p w14:paraId="09750C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  <w:shd w:val="clear" w:color="auto" w:fill="FFFFFF"/>
        </w:rPr>
      </w:pPr>
    </w:p>
    <w:p w14:paraId="6B4CFA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部门概况</w:t>
      </w:r>
    </w:p>
    <w:p w14:paraId="77B96E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bookmarkStart w:id="0" w:name="_Toc4781"/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机构组成</w:t>
      </w:r>
      <w:bookmarkEnd w:id="0"/>
    </w:p>
    <w:p w14:paraId="3069E74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泸县经济信息科学技术局是一级预算单位，属行政单位，下属二级单位2个，其中：事业单位泸县企业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管理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服务中心1个，参公管理事业单位泸县经济和信息化行政监察大队1个，以上2个二级单位经费未单独核算，都与局机关一同预算。</w:t>
      </w:r>
    </w:p>
    <w:p w14:paraId="05D626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default" w:ascii="楷体_GB2312" w:hAnsi="楷体_GB2312" w:eastAsia="楷体_GB2312" w:cs="楷体_GB2312"/>
          <w:sz w:val="32"/>
          <w:szCs w:val="32"/>
        </w:rPr>
        <w:t>机构职能</w:t>
      </w:r>
    </w:p>
    <w:p w14:paraId="2EC108F8"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贯彻实施国家、省、市、县有关工业经济、信息化和无线电管理的方针、政策和法律、法规，负责推进全县工业结构调整。拟订全县新型工业化发展战略和重大政策，监测、分析经济运行态势和质量，组织制定并实施全县企业技术改造投资规划和政策。另外负责全县企业技术创新体系建设，负责产业园区建设发展的相关服务工作，负责全县工业和信息化领域的节能降耗、清洁生产和环境资源节约与综合利用工作，负责推进企业信用制度建设，负责全县信息基础设施建设的规划等，并协同有关部门指导企业家队伍建设；承办工业、信息化系统系列职称评定工作。指导全县工业企业职工思想政治工作、精神文明建设、企业党风廉政建设和纪律检查、行政监察工作；指导企业管理人员的培训。完成县委、县政府交办的其他任务等。泸县经济信息科学技术局内设12个职能股（室），具体情况如下：</w:t>
      </w:r>
    </w:p>
    <w:p w14:paraId="372051A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1" w:name="_Toc17081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1.办公室（财务股）</w:t>
      </w:r>
    </w:p>
    <w:p w14:paraId="5FDF0BC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2.政策法规股（盐业监管股）</w:t>
      </w:r>
    </w:p>
    <w:p w14:paraId="68ED98B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3.工业经济统计股</w:t>
      </w:r>
    </w:p>
    <w:p w14:paraId="64415AC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4.工业股（行政审批股）</w:t>
      </w:r>
    </w:p>
    <w:p w14:paraId="7AC8E31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5.高新技术股</w:t>
      </w:r>
    </w:p>
    <w:p w14:paraId="7CE5379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6.安全生产委员会办公室（节能监察办公室）</w:t>
      </w:r>
    </w:p>
    <w:p w14:paraId="3513A7D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7.经济运行股</w:t>
      </w:r>
    </w:p>
    <w:p w14:paraId="491657B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8.产业园区股</w:t>
      </w:r>
    </w:p>
    <w:p w14:paraId="094AD8F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9.数字经济及信息化发展股（无线电管理办公室）</w:t>
      </w:r>
    </w:p>
    <w:p w14:paraId="61194A4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10.农村科技与社会发展股</w:t>
      </w:r>
    </w:p>
    <w:p w14:paraId="698CF2C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11.科技人才工作股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ab/>
      </w:r>
    </w:p>
    <w:p w14:paraId="266A82C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12.人事政工股</w:t>
      </w:r>
    </w:p>
    <w:bookmarkEnd w:id="1"/>
    <w:p w14:paraId="0D514E98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78" w:lineRule="exact"/>
        <w:ind w:firstLine="672" w:firstLineChars="210"/>
        <w:contextualSpacing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（三）人员概况</w:t>
      </w:r>
    </w:p>
    <w:p w14:paraId="708A4BF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泸县经济信息科学技术局核定总编制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名，其中：行政编制23名，参公编制7名，事业编制10名，工勤编制1名。在职人员总数3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人，其中：行政人员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人，参公人员5人，事业人员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人，工勤人员3人；退休人员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人。</w:t>
      </w:r>
    </w:p>
    <w:p w14:paraId="1E9A778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二、部门资金收支情况</w:t>
      </w:r>
    </w:p>
    <w:p w14:paraId="2936630A">
      <w:pPr>
        <w:pageBreakBefore w:val="0"/>
        <w:tabs>
          <w:tab w:val="left" w:pos="591"/>
        </w:tabs>
        <w:kinsoku/>
        <w:wordWrap/>
        <w:overflowPunct/>
        <w:topLinePunct w:val="0"/>
        <w:bidi w:val="0"/>
        <w:adjustRightInd w:val="0"/>
        <w:snapToGrid w:val="0"/>
        <w:spacing w:line="578" w:lineRule="exact"/>
        <w:ind w:firstLine="672" w:firstLineChars="210"/>
        <w:contextualSpacing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收入情况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年收入年初预算数为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768.15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万元；调整预算数为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2752.93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万元；决算数为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2752.93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万元，比202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年收入决算数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2935.11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万元减少了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182.18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万元，原因是本年度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机构承担企业补助、疫情经费等经费减少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7487CB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支出情况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年支出年初预算数为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768.15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万元；调整预算数为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3793.43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万元；决算数为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3793.43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万元，比202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年支出决算数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3385.61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407.82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万元，原因是本年度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存量资金支付项目经费增加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。其中：基本支出为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775.44万元，占20.44%；项目支出3017.99万元，占79.56%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77AAD3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（三）结余分配和结转结余情况</w:t>
      </w:r>
    </w:p>
    <w:p w14:paraId="19612A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年年末结转为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万元，比202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年年末结转减少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万元。</w:t>
      </w:r>
    </w:p>
    <w:p w14:paraId="37C9B5B3"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2" w:name="_Toc21758"/>
      <w:bookmarkStart w:id="3" w:name="_Toc1696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部门预算绩效</w:t>
      </w:r>
      <w:bookmarkEnd w:id="2"/>
      <w:bookmarkEnd w:id="3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分析</w:t>
      </w:r>
    </w:p>
    <w:p w14:paraId="316BE661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楷体_GB2312" w:hAnsi="楷体_GB2312" w:eastAsia="楷体_GB2312" w:cs="楷体_GB2312"/>
          <w:kern w:val="2"/>
          <w:sz w:val="32"/>
          <w:szCs w:val="32"/>
          <w:lang w:val="zh-CN" w:eastAsia="zh-CN" w:bidi="ar-SA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zh-CN" w:eastAsia="zh-CN" w:bidi="ar-SA"/>
        </w:rPr>
        <w:t>（一）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zh-CN" w:eastAsia="zh-CN" w:bidi="ar-SA"/>
        </w:rPr>
        <w:t>部门预算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zh-CN" w:eastAsia="zh-CN" w:bidi="ar-SA"/>
        </w:rPr>
        <w:t>总体绩效分析。</w:t>
      </w:r>
    </w:p>
    <w:p w14:paraId="6D08857D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履职效能。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选取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促进工业经济发展、做好电力城镇配网和农网统筹规划、守牢安全环保底线等3个核心职能目标，都按时完成，达到了预期的效果，预估评分15分。</w:t>
      </w:r>
    </w:p>
    <w:p w14:paraId="3E493C7C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highlight w:val="none"/>
          <w:shd w:val="clear" w:color="auto" w:fill="FFFFFF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2.</w:t>
      </w:r>
      <w:r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预算管理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我单位基本支出和行政运转项目支出都列入了年初预算，预算编制质量良好，单位收入主要是一般公共财政收入，支出执行进度按月进行，严控一般性支出，预算收入与支出相等，无结余，预估评分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25分。</w:t>
      </w:r>
    </w:p>
    <w:p w14:paraId="14EEB861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3.</w:t>
      </w:r>
      <w:r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财务管理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我单位建立了财务管理制度，设置了会计、出纳岗位，资金使用按规章制度执行，预估评分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。</w:t>
      </w:r>
    </w:p>
    <w:p w14:paraId="15618C4A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4.</w:t>
      </w:r>
      <w:r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资产管理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我单位2023年人均资产变化率不大，通过政府采购空调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4台，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合计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14876元，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无闲置资产，资产变化率、利用率基本与上年持平，预估评分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。</w:t>
      </w:r>
    </w:p>
    <w:p w14:paraId="076FD2F9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5.</w:t>
      </w:r>
      <w:r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采购管理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。我单位严格按照政府采购相关要求，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支持中小企业发展，采购执行率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100%，预估评分6分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。</w:t>
      </w:r>
    </w:p>
    <w:p w14:paraId="7A803D8B">
      <w:pPr>
        <w:ind w:firstLine="643" w:firstLineChars="200"/>
        <w:rPr>
          <w:rFonts w:eastAsia="仿宋_GB2312"/>
          <w:sz w:val="32"/>
          <w:szCs w:val="32"/>
          <w:lang w:val="zh-CN"/>
        </w:rPr>
      </w:pPr>
      <w:r>
        <w:rPr>
          <w:rFonts w:hint="eastAsia" w:ascii="楷体_GB2312" w:eastAsia="楷体_GB2312"/>
          <w:b/>
          <w:sz w:val="32"/>
          <w:szCs w:val="32"/>
        </w:rPr>
        <w:t>（二）部门预算项目绩效分析。</w:t>
      </w:r>
    </w:p>
    <w:p w14:paraId="75F21B64">
      <w:pPr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常年项目绩效分析。该类项目总数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  <w:lang w:val="zh-CN"/>
        </w:rPr>
        <w:t xml:space="preserve">个，涉及预算总金额 </w:t>
      </w:r>
      <w:r>
        <w:rPr>
          <w:rFonts w:hint="eastAsia" w:eastAsia="仿宋_GB2312"/>
          <w:sz w:val="32"/>
          <w:szCs w:val="32"/>
          <w:lang w:val="en-US" w:eastAsia="zh-CN"/>
        </w:rPr>
        <w:t>930.55</w:t>
      </w:r>
      <w:r>
        <w:rPr>
          <w:rFonts w:hint="eastAsia" w:eastAsia="仿宋_GB2312"/>
          <w:sz w:val="32"/>
          <w:szCs w:val="32"/>
          <w:lang w:val="zh-CN"/>
        </w:rPr>
        <w:t xml:space="preserve">万元，1—12月预算执行总体进度为 </w:t>
      </w:r>
      <w:r>
        <w:rPr>
          <w:rFonts w:hint="eastAsia" w:eastAsia="仿宋_GB2312"/>
          <w:sz w:val="32"/>
          <w:szCs w:val="32"/>
          <w:lang w:val="en-US" w:eastAsia="zh-CN"/>
        </w:rPr>
        <w:t>100</w:t>
      </w:r>
      <w:r>
        <w:rPr>
          <w:rFonts w:hint="eastAsia" w:eastAsia="仿宋_GB2312"/>
          <w:sz w:val="32"/>
          <w:szCs w:val="32"/>
          <w:lang w:val="zh-CN"/>
        </w:rPr>
        <w:t xml:space="preserve"> %，其中：预算结余率大于10%的项目共计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  <w:lang w:val="zh-CN"/>
        </w:rPr>
        <w:t>个。</w:t>
      </w:r>
    </w:p>
    <w:p w14:paraId="539D578E">
      <w:pPr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阶段（一次性）项目绩效分析。该类项目总数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hint="eastAsia" w:eastAsia="仿宋_GB2312"/>
          <w:sz w:val="32"/>
          <w:szCs w:val="32"/>
          <w:lang w:val="zh-CN"/>
        </w:rPr>
        <w:t>个，涉及预算总金额</w:t>
      </w:r>
      <w:r>
        <w:rPr>
          <w:rFonts w:hint="eastAsia" w:eastAsia="仿宋_GB2312"/>
          <w:sz w:val="32"/>
          <w:szCs w:val="32"/>
          <w:lang w:val="en-US" w:eastAsia="zh-CN"/>
        </w:rPr>
        <w:t>2862.88</w:t>
      </w:r>
      <w:r>
        <w:rPr>
          <w:rFonts w:hint="eastAsia" w:eastAsia="仿宋_GB2312"/>
          <w:sz w:val="32"/>
          <w:szCs w:val="32"/>
          <w:lang w:val="zh-CN"/>
        </w:rPr>
        <w:t xml:space="preserve">万元，1—12月预算执行总体进度为 </w:t>
      </w:r>
      <w:r>
        <w:rPr>
          <w:rFonts w:hint="eastAsia" w:eastAsia="仿宋_GB2312"/>
          <w:sz w:val="32"/>
          <w:szCs w:val="32"/>
          <w:lang w:val="en-US" w:eastAsia="zh-CN"/>
        </w:rPr>
        <w:t>100</w:t>
      </w:r>
      <w:r>
        <w:rPr>
          <w:rFonts w:hint="eastAsia" w:eastAsia="仿宋_GB2312"/>
          <w:sz w:val="32"/>
          <w:szCs w:val="32"/>
          <w:lang w:val="zh-CN"/>
        </w:rPr>
        <w:t xml:space="preserve"> %，其中：预算结余率大于10%的项目共计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  <w:lang w:val="zh-CN"/>
        </w:rPr>
        <w:t>个。</w:t>
      </w:r>
    </w:p>
    <w:p w14:paraId="691567AC">
      <w:pPr>
        <w:numPr>
          <w:ilvl w:val="0"/>
          <w:numId w:val="2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  <w:t>项目决策。</w:t>
      </w:r>
      <w:r>
        <w:rPr>
          <w:rFonts w:hint="eastAsia" w:eastAsia="仿宋_GB2312"/>
          <w:sz w:val="32"/>
          <w:szCs w:val="32"/>
          <w:lang w:val="en-US" w:eastAsia="zh-CN"/>
        </w:rPr>
        <w:t>年初按照部门人员机构，全年工作任务制定目标，经过科学精准的预算编制，进行项目入库，预估评分11分。</w:t>
      </w:r>
    </w:p>
    <w:p w14:paraId="456FB8FD">
      <w:pPr>
        <w:numPr>
          <w:ilvl w:val="0"/>
          <w:numId w:val="2"/>
        </w:numPr>
        <w:ind w:left="0" w:leftChars="0"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  <w:t>项目执行。</w:t>
      </w:r>
      <w:r>
        <w:rPr>
          <w:rFonts w:hint="eastAsia" w:eastAsia="仿宋_GB2312"/>
          <w:sz w:val="32"/>
          <w:szCs w:val="32"/>
          <w:lang w:val="en-US" w:eastAsia="zh-CN"/>
        </w:rPr>
        <w:t>根据项目的轻重缓急，资金下达多少安排工作目标，按序时进度执行，在6、9、11月实际支出进度分别都达到全年资金总量的58.8%、68.8%、86.4%，符合进度要求，预估评分11分。</w:t>
      </w:r>
    </w:p>
    <w:p w14:paraId="339B6AC7">
      <w:pPr>
        <w:numPr>
          <w:ilvl w:val="0"/>
          <w:numId w:val="2"/>
        </w:numPr>
        <w:ind w:left="0" w:leftChars="0"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  <w:t>目标实现。</w:t>
      </w:r>
      <w:r>
        <w:rPr>
          <w:rFonts w:hint="eastAsia" w:eastAsia="仿宋_GB2312"/>
          <w:sz w:val="32"/>
          <w:szCs w:val="32"/>
          <w:lang w:val="en-US" w:eastAsia="zh-CN"/>
        </w:rPr>
        <w:t>2023年在本部门职责范围内完成了全年工作目标任务，无目标偏离，所有目标都实现了应有的效果和用途，预估评分10分。</w:t>
      </w:r>
    </w:p>
    <w:p w14:paraId="624F8D1E">
      <w:pPr>
        <w:numPr>
          <w:ilvl w:val="0"/>
          <w:numId w:val="0"/>
        </w:num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我部门</w:t>
      </w:r>
      <w:r>
        <w:rPr>
          <w:rFonts w:hint="default" w:eastAsia="仿宋_GB2312"/>
          <w:sz w:val="32"/>
          <w:szCs w:val="32"/>
          <w:lang w:val="en-US" w:eastAsia="zh-CN"/>
        </w:rPr>
        <w:t>2023年度</w:t>
      </w:r>
      <w:r>
        <w:rPr>
          <w:rFonts w:hint="eastAsia" w:eastAsia="仿宋_GB2312"/>
          <w:sz w:val="32"/>
          <w:szCs w:val="32"/>
          <w:lang w:val="en-US" w:eastAsia="zh-CN"/>
        </w:rPr>
        <w:t>不</w:t>
      </w:r>
      <w:r>
        <w:rPr>
          <w:rFonts w:hint="default" w:eastAsia="仿宋_GB2312"/>
          <w:sz w:val="32"/>
          <w:szCs w:val="32"/>
          <w:lang w:val="en-US" w:eastAsia="zh-CN"/>
        </w:rPr>
        <w:t>涉及国有资本经营预算。</w:t>
      </w:r>
    </w:p>
    <w:p w14:paraId="7F831C00">
      <w:pPr>
        <w:numPr>
          <w:ilvl w:val="0"/>
          <w:numId w:val="3"/>
        </w:numPr>
        <w:ind w:firstLine="643" w:firstLineChars="200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ascii="楷体_GB2312" w:eastAsia="楷体_GB2312"/>
          <w:b/>
          <w:sz w:val="32"/>
          <w:szCs w:val="32"/>
        </w:rPr>
        <w:t>重点领域绩效分析。</w:t>
      </w:r>
    </w:p>
    <w:p w14:paraId="48BAB24E">
      <w:pPr>
        <w:numPr>
          <w:ilvl w:val="0"/>
          <w:numId w:val="0"/>
        </w:numPr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我部门2023年无重点领域绩效分析。</w:t>
      </w:r>
    </w:p>
    <w:p w14:paraId="5388E85A">
      <w:pPr>
        <w:numPr>
          <w:ilvl w:val="0"/>
          <w:numId w:val="3"/>
        </w:numPr>
        <w:ind w:left="0" w:leftChars="0" w:firstLine="643" w:firstLineChars="200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ascii="楷体_GB2312" w:eastAsia="楷体_GB2312"/>
          <w:b/>
          <w:sz w:val="32"/>
          <w:szCs w:val="32"/>
        </w:rPr>
        <w:t>绩效结果应用情况。</w:t>
      </w:r>
    </w:p>
    <w:p w14:paraId="773D14D3"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我部门对预算绩效管理工作开展了自评，并按照财政通知要求，我部门2023年整体绩效目标随同2023年部门预算向社会进行公开。我局高度重视绩效目标核查、绩效运行监控和重点绩效评价等工作成果的运用，及时发现预算编制、项目推进、绩效目标设置、资金支付等方面存在的问题，积极制定措施及时解决，所有发现问题都得到了有效整改。</w:t>
      </w:r>
    </w:p>
    <w:p w14:paraId="7D595188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四、评价结论及建议</w:t>
      </w:r>
    </w:p>
    <w:p w14:paraId="31B845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firstLine="643" w:firstLineChars="200"/>
        <w:jc w:val="left"/>
        <w:textAlignment w:val="auto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ascii="楷体_GB2312" w:eastAsia="楷体_GB2312"/>
          <w:b/>
          <w:sz w:val="32"/>
          <w:szCs w:val="32"/>
        </w:rPr>
        <w:t>（一）评价结论。</w:t>
      </w:r>
    </w:p>
    <w:p w14:paraId="061644D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，本部门不管是在资金预算编制方面，还是预算执行、综合管理、整体绩效方面，均按照国家政策法规规定，结合本单位实际情况及相关规定严格执行，并合理安排项目，使财政资金发挥最大的效益，完成了部门职能职责，实现了较高的工作效率和支出绩效。自评得分95分（部门自评满分100分），评价结果为“优”。</w:t>
      </w:r>
    </w:p>
    <w:p w14:paraId="70A70429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78" w:lineRule="exact"/>
        <w:ind w:firstLine="675" w:firstLineChars="210"/>
        <w:contextualSpacing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存在问题。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一是年中追加项目的预算绩效目标制定有待设定有待更科学更合理；二是绩效评价结果应用需加强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6A115019">
      <w:pPr>
        <w:ind w:firstLine="643" w:firstLineChars="200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ascii="楷体_GB2312" w:eastAsia="楷体_GB2312"/>
          <w:b/>
          <w:sz w:val="32"/>
          <w:szCs w:val="32"/>
        </w:rPr>
        <w:t>（三）改进建议。</w:t>
      </w:r>
    </w:p>
    <w:p w14:paraId="1A3EB7F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1.完善预算绩效管理体系和指标评估体系，科学设定绩效目标，提高预算编制质量。</w:t>
      </w:r>
    </w:p>
    <w:p w14:paraId="7FF86BA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2.加强财务人员的专业知识系统培训，积极推进第三方机构独立开展绩效评价，借助社会专业力量，确保评价工作公平、公正。</w:t>
      </w:r>
    </w:p>
    <w:p w14:paraId="197BD520">
      <w:pPr>
        <w:pStyle w:val="4"/>
        <w:ind w:left="0" w:lef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4DB461D1">
      <w:pPr>
        <w:ind w:firstLine="640" w:firstLineChars="200"/>
        <w:rPr>
          <w:rFonts w:hint="eastAsia" w:hAnsi="Times New Roman" w:cs="Times New Roman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hAnsi="Times New Roman" w:cs="Times New Roman"/>
          <w:color w:val="auto"/>
          <w:sz w:val="32"/>
          <w:szCs w:val="32"/>
          <w:highlight w:val="none"/>
          <w:lang w:val="zh-CN" w:eastAsia="zh-CN"/>
        </w:rPr>
        <w:t>附表：</w:t>
      </w:r>
      <w:r>
        <w:rPr>
          <w:rFonts w:hint="eastAsia" w:hAnsi="Times New Roman" w:cs="Times New Roman"/>
          <w:color w:val="auto"/>
          <w:sz w:val="32"/>
          <w:szCs w:val="32"/>
          <w:highlight w:val="none"/>
          <w:lang w:val="en-US" w:eastAsia="zh-CN"/>
        </w:rPr>
        <w:t>部门整体支出绩效目标完成情况自评表</w:t>
      </w:r>
    </w:p>
    <w:tbl>
      <w:tblPr>
        <w:tblStyle w:val="8"/>
        <w:tblpPr w:leftFromText="180" w:rightFromText="180" w:vertAnchor="text" w:horzAnchor="page" w:tblpX="1344" w:tblpY="-212"/>
        <w:tblOverlap w:val="never"/>
        <w:tblW w:w="140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6"/>
        <w:gridCol w:w="1786"/>
        <w:gridCol w:w="1692"/>
        <w:gridCol w:w="1459"/>
        <w:gridCol w:w="1519"/>
        <w:gridCol w:w="1326"/>
        <w:gridCol w:w="1492"/>
        <w:gridCol w:w="1523"/>
        <w:gridCol w:w="924"/>
        <w:gridCol w:w="619"/>
      </w:tblGrid>
      <w:tr w14:paraId="045C3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exact"/>
        </w:trPr>
        <w:tc>
          <w:tcPr>
            <w:tcW w:w="14076" w:type="dxa"/>
            <w:gridSpan w:val="10"/>
            <w:shd w:val="clear" w:color="auto" w:fill="auto"/>
            <w:vAlign w:val="center"/>
          </w:tcPr>
          <w:p w14:paraId="5499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部门整体支出绩效目标完成情况自评表</w:t>
            </w:r>
          </w:p>
        </w:tc>
      </w:tr>
      <w:tr w14:paraId="5FB4A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4076" w:type="dxa"/>
            <w:gridSpan w:val="10"/>
            <w:shd w:val="clear" w:color="auto" w:fill="auto"/>
            <w:vAlign w:val="center"/>
          </w:tcPr>
          <w:p w14:paraId="759AF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（2023年度）</w:t>
            </w:r>
          </w:p>
        </w:tc>
      </w:tr>
      <w:tr w14:paraId="2761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4076" w:type="dxa"/>
            <w:gridSpan w:val="10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1B769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 w14:paraId="3988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8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88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0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泸县经济信息科学技术局</w:t>
            </w:r>
          </w:p>
        </w:tc>
      </w:tr>
      <w:tr w14:paraId="12D23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0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年度部门整体支出预算</w:t>
            </w: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B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5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5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</w:tr>
      <w:tr w14:paraId="490D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1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9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768.15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C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768.15</w:t>
            </w:r>
          </w:p>
        </w:tc>
        <w:tc>
          <w:tcPr>
            <w:tcW w:w="5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1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FEF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1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</w:t>
            </w:r>
          </w:p>
          <w:p w14:paraId="2A43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</w:p>
        </w:tc>
        <w:tc>
          <w:tcPr>
            <w:tcW w:w="123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A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  <w:t>继续贯彻落实县委、县政府各项决策部署，把工业稳增长摆在重要位置。坚持目标导向，以“链长制”为抓手，以要素保障为基础，以科技创新为主体，持续项目攻坚，大力发展消费品工业，发挥产业优势，服务产业优化升级，营造良好的工业发展环境，实现工业总产值、规模以上企业、规模以上工业总产值等稳步增长，竭力完成工业投资、技改投资任务，保障工业经济稳定运行，为全县经济社会高质量发展夯实工业基础。</w:t>
            </w:r>
          </w:p>
        </w:tc>
      </w:tr>
      <w:tr w14:paraId="2C0AA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3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年度主要</w:t>
            </w:r>
          </w:p>
          <w:p w14:paraId="5281F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</w:t>
            </w: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8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88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C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主要内容</w:t>
            </w:r>
          </w:p>
        </w:tc>
      </w:tr>
      <w:tr w14:paraId="35F85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1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5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工业经济运行监测和数据统计、企业管理、服务及培育等工作</w:t>
            </w:r>
          </w:p>
        </w:tc>
        <w:tc>
          <w:tcPr>
            <w:tcW w:w="88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8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大力推进全县生态产业链工作，做好工业经济运行监测等工作，力促全县工业经济发展再上新台阶。</w:t>
            </w:r>
          </w:p>
        </w:tc>
      </w:tr>
      <w:tr w14:paraId="680EF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3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2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数字经济和信息化建设工作</w:t>
            </w:r>
          </w:p>
        </w:tc>
        <w:tc>
          <w:tcPr>
            <w:tcW w:w="88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9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统筹全县智慧城市和信息化建设重大问题，积极推进5G项目、数字产业化、数字经济工作等工作。</w:t>
            </w:r>
          </w:p>
        </w:tc>
      </w:tr>
      <w:tr w14:paraId="67F1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4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B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保障县经济信息科学技术局职工的正常办公</w:t>
            </w:r>
          </w:p>
        </w:tc>
        <w:tc>
          <w:tcPr>
            <w:tcW w:w="88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C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保障2022年度县经济信息科学技术局各项日常工作顺利开展、职工工资薪金按时发放。</w:t>
            </w:r>
          </w:p>
        </w:tc>
      </w:tr>
      <w:tr w14:paraId="6726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3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2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保障各项会议顺利召开</w:t>
            </w:r>
          </w:p>
        </w:tc>
        <w:tc>
          <w:tcPr>
            <w:tcW w:w="88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5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确保工业经济和信息化工作部署会、工业企业安全生产工作会、工业经济工作推进会等会议顺利召开。</w:t>
            </w:r>
          </w:p>
        </w:tc>
      </w:tr>
      <w:tr w14:paraId="73954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0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F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保障办公设备</w:t>
            </w:r>
          </w:p>
        </w:tc>
        <w:tc>
          <w:tcPr>
            <w:tcW w:w="88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6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为了保障正常办公使用，2023年急复印机1台、音响设备1台。</w:t>
            </w:r>
          </w:p>
        </w:tc>
      </w:tr>
      <w:tr w14:paraId="7B04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0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2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保障科技和人才工作的顺利开展</w:t>
            </w:r>
          </w:p>
        </w:tc>
        <w:tc>
          <w:tcPr>
            <w:tcW w:w="88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F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积极开展创新型城市、市级创新平台建设，加强人才政策推介、科技人才引进，科技特派员等工作。</w:t>
            </w:r>
          </w:p>
        </w:tc>
      </w:tr>
      <w:tr w14:paraId="16535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9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1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全县电力设施建设要素保障</w:t>
            </w:r>
          </w:p>
        </w:tc>
        <w:tc>
          <w:tcPr>
            <w:tcW w:w="88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0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做好重点项目电力线路迁改，保障项目顺利推进。</w:t>
            </w:r>
          </w:p>
        </w:tc>
      </w:tr>
      <w:tr w14:paraId="7EB92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5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4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上争外引工作</w:t>
            </w:r>
          </w:p>
        </w:tc>
        <w:tc>
          <w:tcPr>
            <w:tcW w:w="88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F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持续推进化工园区相关项目，加快能源化工招商引资等工作。</w:t>
            </w:r>
          </w:p>
        </w:tc>
      </w:tr>
      <w:tr w14:paraId="30207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5" w:hRule="atLeast"/>
        </w:trPr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10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年度绩效</w:t>
            </w:r>
          </w:p>
          <w:p w14:paraId="3CE04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0B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D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32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BF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  <w:p w14:paraId="422B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4A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绩效指标值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73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绩效度量单位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0A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42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</w:t>
            </w:r>
          </w:p>
          <w:p w14:paraId="2F87E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33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011F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C1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7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8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1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购买专家服务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6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2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5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32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C7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0351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47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44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B9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C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开展安全环保检查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6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E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C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8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7C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5F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 w14:paraId="0D60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AA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B8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8E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3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聘请法律顾问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7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B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F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4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62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6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 w14:paraId="3881D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1B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9C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F7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5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选派科技特派员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7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C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6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2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46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A5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 w14:paraId="1141F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17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45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8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6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会议质量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F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1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983D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A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0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B5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 w14:paraId="4EA72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E9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AE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A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A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项目资金拨付时效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D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A4C41">
            <w:pPr>
              <w:keepNext w:val="0"/>
              <w:keepLines w:val="0"/>
              <w:widowControl/>
              <w:suppressLineNumbers w:val="0"/>
              <w:tabs>
                <w:tab w:val="center" w:pos="708"/>
                <w:tab w:val="right" w:pos="1296"/>
              </w:tabs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高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9A83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B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C4754">
            <w:pPr>
              <w:keepNext w:val="0"/>
              <w:keepLines w:val="0"/>
              <w:widowControl/>
              <w:suppressLineNumbers w:val="0"/>
              <w:tabs>
                <w:tab w:val="center" w:pos="708"/>
                <w:tab w:val="right" w:pos="1296"/>
              </w:tabs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7FC5A">
            <w:pPr>
              <w:keepNext w:val="0"/>
              <w:keepLines w:val="0"/>
              <w:pageBreakBefore w:val="0"/>
              <w:widowControl/>
              <w:tabs>
                <w:tab w:val="left" w:pos="2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 w14:paraId="66C9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83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F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64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F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促进工业经济发展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5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847E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E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6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AF892">
            <w:pPr>
              <w:keepNext w:val="0"/>
              <w:keepLines w:val="0"/>
              <w:pageBreakBefore w:val="0"/>
              <w:widowControl/>
              <w:tabs>
                <w:tab w:val="left" w:pos="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 w14:paraId="5AF9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B7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94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DE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7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做好电力城镇配网和农网统筹规划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9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2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1C04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D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E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E3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 w14:paraId="4DD62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7F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13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CE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D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守牢安全环保底线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7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C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6D7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C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F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9AC98">
            <w:pPr>
              <w:keepNext w:val="0"/>
              <w:keepLines w:val="0"/>
              <w:pageBreakBefore w:val="0"/>
              <w:widowControl/>
              <w:tabs>
                <w:tab w:val="left" w:pos="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4" w:name="_GoBack"/>
            <w:bookmarkEnd w:id="4"/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 w14:paraId="3204E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DF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C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3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可持续发展指标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经济可持续发展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366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0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 w14:paraId="1F5F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5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F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3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 w14:paraId="264D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B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B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无重大环境污染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AA8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4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</w:tbl>
    <w:p w14:paraId="793CB7A2">
      <w:pPr>
        <w:pStyle w:val="2"/>
        <w:rPr>
          <w:rFonts w:hint="eastAsia"/>
          <w:lang w:val="en-US" w:eastAsia="zh-CN"/>
        </w:rPr>
      </w:pPr>
    </w:p>
    <w:p w14:paraId="7C67AE59">
      <w:pPr>
        <w:ind w:firstLine="640" w:firstLineChars="200"/>
        <w:rPr>
          <w:rFonts w:hint="eastAsia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p w14:paraId="63C2FA91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3654F365">
      <w:pPr>
        <w:bidi w:val="0"/>
        <w:rPr>
          <w:rFonts w:hint="eastAsia"/>
          <w:lang w:val="en-US" w:eastAsia="zh-CN"/>
        </w:rPr>
      </w:pPr>
    </w:p>
    <w:p w14:paraId="6B7EE87A">
      <w:pPr>
        <w:tabs>
          <w:tab w:val="left" w:pos="855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FFBA2E"/>
    <w:multiLevelType w:val="singleLevel"/>
    <w:tmpl w:val="E3FFBA2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67FBB2"/>
    <w:multiLevelType w:val="singleLevel"/>
    <w:tmpl w:val="6467FB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FD5ECAD"/>
    <w:multiLevelType w:val="singleLevel"/>
    <w:tmpl w:val="7FD5ECA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mNmYTdiNGI4OTk2YTFjZDdiNmVjY2I0Zjk4ZjIifQ=="/>
  </w:docVars>
  <w:rsids>
    <w:rsidRoot w:val="00000000"/>
    <w:rsid w:val="0D36389F"/>
    <w:rsid w:val="14802767"/>
    <w:rsid w:val="40866B17"/>
    <w:rsid w:val="568607C3"/>
    <w:rsid w:val="666963EC"/>
    <w:rsid w:val="705A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after="120"/>
      <w:ind w:leftChars="200"/>
    </w:pPr>
    <w:rPr>
      <w:rFonts w:ascii="仿宋_GB2312"/>
      <w:szCs w:val="32"/>
    </w:r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3121</Words>
  <Characters>3367</Characters>
  <Lines>0</Lines>
  <Paragraphs>0</Paragraphs>
  <TotalTime>24</TotalTime>
  <ScaleCrop>false</ScaleCrop>
  <LinksUpToDate>false</LinksUpToDate>
  <CharactersWithSpaces>3382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2024-09-27T01:58:00Z</dcterms:created>
  <dc:creator>Administrator</dc:creator>
  <cp:lastModifiedBy>yb</cp:lastModifiedBy>
  <dcterms:modified xsi:type="dcterms:W3CDTF">2024-09-30T02:49:26Z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8605B10FF18C4E7D97D3957C5D9C859F_12</vt:lpwstr>
  </property>
</Properties>
</file>